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9B28" w14:textId="77777777" w:rsidR="00181318" w:rsidRPr="00146D39" w:rsidRDefault="009667E1" w:rsidP="009667E1">
      <w:pPr>
        <w:spacing w:after="0"/>
        <w:rPr>
          <w:b/>
          <w:sz w:val="24"/>
        </w:rPr>
      </w:pPr>
      <w:r w:rsidRPr="00146D39">
        <w:rPr>
          <w:b/>
          <w:sz w:val="24"/>
        </w:rPr>
        <w:t>University of Missouri Health Care</w:t>
      </w:r>
    </w:p>
    <w:p w14:paraId="300C1517" w14:textId="77777777" w:rsidR="009667E1" w:rsidRPr="00146D39" w:rsidRDefault="009667E1" w:rsidP="009667E1">
      <w:pPr>
        <w:spacing w:after="0"/>
        <w:rPr>
          <w:b/>
          <w:sz w:val="24"/>
        </w:rPr>
      </w:pPr>
      <w:r w:rsidRPr="00146D39">
        <w:rPr>
          <w:b/>
          <w:sz w:val="24"/>
        </w:rPr>
        <w:t>Health Affairs Committee</w:t>
      </w:r>
    </w:p>
    <w:p w14:paraId="5A91D8BD" w14:textId="77777777" w:rsidR="009667E1" w:rsidRPr="00146D39" w:rsidRDefault="009667E1" w:rsidP="009667E1">
      <w:pPr>
        <w:spacing w:after="0"/>
        <w:rPr>
          <w:b/>
          <w:sz w:val="14"/>
        </w:rPr>
      </w:pPr>
    </w:p>
    <w:p w14:paraId="2834AC25" w14:textId="77777777" w:rsidR="009667E1" w:rsidRPr="00146D39" w:rsidRDefault="009667E1" w:rsidP="00710D2E">
      <w:pPr>
        <w:spacing w:after="0"/>
        <w:rPr>
          <w:b/>
        </w:rPr>
      </w:pPr>
      <w:r w:rsidRPr="00146D39">
        <w:rPr>
          <w:b/>
        </w:rPr>
        <w:t>Financial Report</w:t>
      </w:r>
    </w:p>
    <w:p w14:paraId="07BCC6FC" w14:textId="77777777" w:rsidR="009667E1" w:rsidRPr="00146D39" w:rsidRDefault="009D2545" w:rsidP="009667E1">
      <w:pPr>
        <w:spacing w:after="0"/>
        <w:rPr>
          <w:b/>
        </w:rPr>
      </w:pPr>
      <w:r w:rsidRPr="00146D39">
        <w:rPr>
          <w:b/>
        </w:rPr>
        <w:t>F</w:t>
      </w:r>
      <w:r w:rsidR="00716762" w:rsidRPr="00146D39">
        <w:rPr>
          <w:b/>
        </w:rPr>
        <w:t>iscal Year 2021</w:t>
      </w:r>
      <w:r w:rsidR="00CC496A" w:rsidRPr="00146D39">
        <w:rPr>
          <w:b/>
        </w:rPr>
        <w:t xml:space="preserve">, </w:t>
      </w:r>
      <w:r w:rsidR="00146D39" w:rsidRPr="00146D39">
        <w:rPr>
          <w:b/>
        </w:rPr>
        <w:t xml:space="preserve">December </w:t>
      </w:r>
      <w:r w:rsidRPr="00146D39">
        <w:rPr>
          <w:b/>
        </w:rPr>
        <w:t>Year-to-Date</w:t>
      </w:r>
    </w:p>
    <w:p w14:paraId="702A6638" w14:textId="77777777" w:rsidR="00A9675B" w:rsidRPr="00146D39" w:rsidRDefault="00A9675B" w:rsidP="00146D39">
      <w:pPr>
        <w:spacing w:after="0"/>
        <w:rPr>
          <w:b/>
          <w:highlight w:val="yellow"/>
        </w:rPr>
      </w:pPr>
    </w:p>
    <w:p w14:paraId="25A066C9" w14:textId="706A848A" w:rsidR="00D47DA7" w:rsidRPr="00146D39" w:rsidRDefault="002A213D" w:rsidP="00716762">
      <w:pPr>
        <w:spacing w:after="0"/>
        <w:jc w:val="center"/>
        <w:rPr>
          <w:b/>
          <w:highlight w:val="yellow"/>
        </w:rPr>
      </w:pPr>
      <w:r w:rsidRPr="002A213D">
        <w:rPr>
          <w:b/>
          <w:noProof/>
        </w:rPr>
        <w:drawing>
          <wp:inline distT="0" distB="0" distL="0" distR="0" wp14:anchorId="1AD00E62" wp14:editId="1DB2D38D">
            <wp:extent cx="5657215" cy="11252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EAFD" w14:textId="77777777" w:rsidR="009667E1" w:rsidRPr="00146D39" w:rsidRDefault="009667E1" w:rsidP="007D1D69">
      <w:pPr>
        <w:spacing w:after="0"/>
        <w:rPr>
          <w:b/>
          <w:sz w:val="24"/>
          <w:highlight w:val="yellow"/>
        </w:rPr>
      </w:pPr>
    </w:p>
    <w:p w14:paraId="66AAA7B3" w14:textId="77777777" w:rsidR="00A9675B" w:rsidRPr="00111719" w:rsidRDefault="00A9675B" w:rsidP="00A9675B">
      <w:pPr>
        <w:spacing w:after="0"/>
        <w:jc w:val="both"/>
        <w:rPr>
          <w:b/>
          <w:u w:val="single"/>
        </w:rPr>
      </w:pPr>
      <w:r w:rsidRPr="00111719">
        <w:rPr>
          <w:b/>
          <w:u w:val="single"/>
        </w:rPr>
        <w:t>Overview</w:t>
      </w:r>
    </w:p>
    <w:p w14:paraId="3BF07C48" w14:textId="43D2FE1F" w:rsidR="00A9675B" w:rsidRPr="00146D39" w:rsidRDefault="00A9675B" w:rsidP="00A9675B">
      <w:pPr>
        <w:spacing w:after="0"/>
        <w:jc w:val="both"/>
        <w:rPr>
          <w:highlight w:val="yellow"/>
        </w:rPr>
      </w:pPr>
      <w:r w:rsidRPr="00111719">
        <w:t>Year-to-date</w:t>
      </w:r>
      <w:r w:rsidR="0005113E" w:rsidRPr="00111719">
        <w:t xml:space="preserve"> </w:t>
      </w:r>
      <w:r w:rsidRPr="00111719">
        <w:t>financial perf</w:t>
      </w:r>
      <w:r w:rsidR="00690B0C" w:rsidRPr="00111719">
        <w:t xml:space="preserve">ormance </w:t>
      </w:r>
      <w:r w:rsidR="008057CE" w:rsidRPr="00111719">
        <w:t xml:space="preserve">for Net Income </w:t>
      </w:r>
      <w:r w:rsidR="007D1D69" w:rsidRPr="00111719">
        <w:t xml:space="preserve">is </w:t>
      </w:r>
      <w:r w:rsidR="00690B0C" w:rsidRPr="00111719">
        <w:t xml:space="preserve">favorable to </w:t>
      </w:r>
      <w:r w:rsidR="002A213D">
        <w:t>forecast</w:t>
      </w:r>
      <w:r w:rsidR="00690B0C" w:rsidRPr="00111719">
        <w:t xml:space="preserve"> by </w:t>
      </w:r>
      <w:r w:rsidR="002F5898">
        <w:t>$33.9</w:t>
      </w:r>
      <w:r w:rsidR="00690B0C" w:rsidRPr="00111719">
        <w:t xml:space="preserve">M. </w:t>
      </w:r>
      <w:r w:rsidR="002A213D" w:rsidRPr="00111719">
        <w:t>Net revenues per adjusted patient day are 12.1% higher than prior year, offsetting the 8.7% increase over prior year in operating expenses per adjusted patient day.</w:t>
      </w:r>
      <w:r w:rsidR="002A213D">
        <w:t xml:space="preserve">  </w:t>
      </w:r>
      <w:r w:rsidR="00690B0C" w:rsidRPr="00111719">
        <w:t xml:space="preserve">The </w:t>
      </w:r>
      <w:r w:rsidR="0005113E" w:rsidRPr="00111719">
        <w:t xml:space="preserve">focus on </w:t>
      </w:r>
      <w:r w:rsidR="00CC76D6" w:rsidRPr="00111719">
        <w:t>aligning</w:t>
      </w:r>
      <w:r w:rsidR="0005113E" w:rsidRPr="00111719">
        <w:t xml:space="preserve"> opera</w:t>
      </w:r>
      <w:r w:rsidR="00B73D9C" w:rsidRPr="00111719">
        <w:t>ting expenses in relation to patient</w:t>
      </w:r>
      <w:r w:rsidR="0005113E" w:rsidRPr="00111719">
        <w:t xml:space="preserve"> revenue</w:t>
      </w:r>
      <w:r w:rsidR="00CC76D6" w:rsidRPr="00111719">
        <w:t xml:space="preserve"> and </w:t>
      </w:r>
      <w:r w:rsidR="00B73D9C" w:rsidRPr="00111719">
        <w:t xml:space="preserve">volume </w:t>
      </w:r>
      <w:r w:rsidR="00F7365D" w:rsidRPr="00111719">
        <w:t>is</w:t>
      </w:r>
      <w:r w:rsidR="00320989" w:rsidRPr="00111719">
        <w:t xml:space="preserve"> reflected</w:t>
      </w:r>
      <w:r w:rsidR="00B73D9C" w:rsidRPr="00111719">
        <w:t xml:space="preserve"> in favorable operating performance.   </w:t>
      </w:r>
      <w:r w:rsidR="00C17C83" w:rsidRPr="00111719">
        <w:t xml:space="preserve">COVID-19 continues to impact day-to-day </w:t>
      </w:r>
      <w:r w:rsidR="00431D0C" w:rsidRPr="00111719">
        <w:t>operations</w:t>
      </w:r>
      <w:r w:rsidR="000F31CF">
        <w:t xml:space="preserve"> by impacting clinical staffing and supplies in areas such as ICU and other operations</w:t>
      </w:r>
      <w:r w:rsidR="00431D0C" w:rsidRPr="00111719">
        <w:t xml:space="preserve">.  </w:t>
      </w:r>
      <w:r w:rsidRPr="00720B00">
        <w:t xml:space="preserve">MUHC leadership </w:t>
      </w:r>
      <w:r w:rsidR="00B675AE" w:rsidRPr="00720B00">
        <w:t>continues to work</w:t>
      </w:r>
      <w:r w:rsidR="00162BE7" w:rsidRPr="00720B00">
        <w:t xml:space="preserve"> with the State of Missouri, </w:t>
      </w:r>
      <w:r w:rsidRPr="00720B00">
        <w:t>hospital advocates</w:t>
      </w:r>
      <w:r w:rsidR="00431D0C" w:rsidRPr="00720B00">
        <w:t xml:space="preserve"> and supply chain providers</w:t>
      </w:r>
      <w:r w:rsidRPr="00720B00">
        <w:t xml:space="preserve"> to ensure resources are available</w:t>
      </w:r>
      <w:r w:rsidR="00720B00" w:rsidRPr="00720B00">
        <w:t xml:space="preserve"> to support the</w:t>
      </w:r>
      <w:r w:rsidR="00111719" w:rsidRPr="00720B00">
        <w:t xml:space="preserve"> </w:t>
      </w:r>
      <w:r w:rsidR="00720B00" w:rsidRPr="00720B00">
        <w:t>continued response to the pandemic</w:t>
      </w:r>
      <w:r w:rsidRPr="00720B00">
        <w:t>.</w:t>
      </w:r>
      <w:r w:rsidR="002E7176" w:rsidRPr="00720B00">
        <w:t xml:space="preserve"> </w:t>
      </w:r>
      <w:r w:rsidR="000F31CF">
        <w:t xml:space="preserve"> Governmental support of our COVID related operating expenses is strong.</w:t>
      </w:r>
      <w:r w:rsidR="002E7176" w:rsidRPr="00720B00">
        <w:t xml:space="preserve"> </w:t>
      </w:r>
      <w:r w:rsidR="00E61450" w:rsidRPr="00720B00">
        <w:t xml:space="preserve">To date </w:t>
      </w:r>
      <w:r w:rsidR="00720B00" w:rsidRPr="00720B00">
        <w:t xml:space="preserve">MUHC received </w:t>
      </w:r>
      <w:r w:rsidR="00E61450" w:rsidRPr="00720B00">
        <w:t>$</w:t>
      </w:r>
      <w:r w:rsidR="00111719" w:rsidRPr="00720B00">
        <w:t>47.8</w:t>
      </w:r>
      <w:r w:rsidR="00E61450" w:rsidRPr="00720B00">
        <w:t>M</w:t>
      </w:r>
      <w:r w:rsidR="002E7176" w:rsidRPr="00720B00">
        <w:t xml:space="preserve"> </w:t>
      </w:r>
      <w:r w:rsidR="00720B00">
        <w:t xml:space="preserve">in CARES funding </w:t>
      </w:r>
      <w:r w:rsidR="00720B00" w:rsidRPr="00720B00">
        <w:t xml:space="preserve">from the Department of Health and Human Services and State of Missouri </w:t>
      </w:r>
      <w:r w:rsidR="00A3377F" w:rsidRPr="00720B00">
        <w:t xml:space="preserve">to offset </w:t>
      </w:r>
      <w:r w:rsidR="00720B00" w:rsidRPr="00720B00">
        <w:t xml:space="preserve">expenses for </w:t>
      </w:r>
      <w:r w:rsidR="002E7176" w:rsidRPr="00720B00">
        <w:t>COVID-19 initiatives.</w:t>
      </w:r>
      <w:r w:rsidR="00A3377F" w:rsidRPr="00720B00">
        <w:t xml:space="preserve"> </w:t>
      </w:r>
      <w:r w:rsidR="00720B00" w:rsidRPr="00720B00">
        <w:t>As of December 2020</w:t>
      </w:r>
      <w:r w:rsidR="00720B00">
        <w:t>,</w:t>
      </w:r>
      <w:r w:rsidR="00720B00" w:rsidRPr="00720B00">
        <w:t xml:space="preserve"> $25.6M in expenses is attributed to operating exp</w:t>
      </w:r>
      <w:r w:rsidR="00720B00">
        <w:t>enses and capital investments for COVID-19 initiatives.</w:t>
      </w:r>
      <w:r w:rsidR="00720B00" w:rsidRPr="00720B00">
        <w:t xml:space="preserve">  </w:t>
      </w:r>
    </w:p>
    <w:p w14:paraId="13DCB279" w14:textId="26675B73" w:rsidR="002F76AC" w:rsidRPr="00146D39" w:rsidRDefault="002F76AC" w:rsidP="00CF485B">
      <w:pPr>
        <w:spacing w:after="0"/>
        <w:jc w:val="both"/>
        <w:rPr>
          <w:color w:val="FF0000"/>
          <w:highlight w:val="yellow"/>
        </w:rPr>
      </w:pPr>
    </w:p>
    <w:p w14:paraId="14B7770B" w14:textId="77777777" w:rsidR="004F1629" w:rsidRPr="00720B00" w:rsidRDefault="004F1629" w:rsidP="00CF485B">
      <w:pPr>
        <w:spacing w:after="0"/>
        <w:jc w:val="both"/>
        <w:rPr>
          <w:b/>
          <w:u w:val="single"/>
        </w:rPr>
      </w:pPr>
      <w:r w:rsidRPr="00720B00">
        <w:rPr>
          <w:b/>
          <w:u w:val="single"/>
        </w:rPr>
        <w:t>Performance Updates</w:t>
      </w:r>
    </w:p>
    <w:p w14:paraId="7020EE15" w14:textId="4179FAAA" w:rsidR="001B14DB" w:rsidRDefault="001B14DB" w:rsidP="00CF485B">
      <w:pPr>
        <w:pStyle w:val="ListParagraph"/>
        <w:numPr>
          <w:ilvl w:val="0"/>
          <w:numId w:val="1"/>
        </w:numPr>
        <w:spacing w:after="0"/>
        <w:jc w:val="both"/>
      </w:pPr>
      <w:r>
        <w:t>Case Mix Index of 2.0 is 8.7% higher than forecast and 7.0% higher than prior</w:t>
      </w:r>
      <w:r w:rsidR="00D94C50">
        <w:t xml:space="preserve"> year</w:t>
      </w:r>
    </w:p>
    <w:p w14:paraId="12FF3A46" w14:textId="6DAF10B5" w:rsidR="004F1629" w:rsidRPr="00111719" w:rsidRDefault="004F1629" w:rsidP="00CF485B">
      <w:pPr>
        <w:pStyle w:val="ListParagraph"/>
        <w:numPr>
          <w:ilvl w:val="0"/>
          <w:numId w:val="1"/>
        </w:numPr>
        <w:spacing w:after="0"/>
        <w:jc w:val="both"/>
      </w:pPr>
      <w:r w:rsidRPr="00111719">
        <w:t xml:space="preserve">Average Daily Census is </w:t>
      </w:r>
      <w:r w:rsidR="00BE0F00" w:rsidRPr="00111719">
        <w:t>2.0</w:t>
      </w:r>
      <w:r w:rsidR="003C7580" w:rsidRPr="00111719">
        <w:t xml:space="preserve">% </w:t>
      </w:r>
      <w:r w:rsidR="00BE0F00" w:rsidRPr="00111719">
        <w:t>lower</w:t>
      </w:r>
      <w:r w:rsidR="005E778F" w:rsidRPr="00111719">
        <w:t xml:space="preserve"> than </w:t>
      </w:r>
      <w:r w:rsidR="002A213D">
        <w:t>forecast</w:t>
      </w:r>
      <w:r w:rsidR="005E778F" w:rsidRPr="00111719">
        <w:t xml:space="preserve"> and </w:t>
      </w:r>
      <w:r w:rsidR="00111719" w:rsidRPr="00111719">
        <w:t>4.9</w:t>
      </w:r>
      <w:r w:rsidR="003C7580" w:rsidRPr="00111719">
        <w:t>% lower</w:t>
      </w:r>
      <w:r w:rsidR="005E778F" w:rsidRPr="00111719">
        <w:t xml:space="preserve"> than prior year</w:t>
      </w:r>
    </w:p>
    <w:p w14:paraId="646B5A0E" w14:textId="2C803732" w:rsidR="009449A9" w:rsidRPr="00BE0F00" w:rsidRDefault="00BE0F00" w:rsidP="00CF485B">
      <w:pPr>
        <w:pStyle w:val="ListParagraph"/>
        <w:numPr>
          <w:ilvl w:val="0"/>
          <w:numId w:val="1"/>
        </w:numPr>
        <w:spacing w:after="0"/>
        <w:jc w:val="both"/>
      </w:pPr>
      <w:r w:rsidRPr="00BE0F00">
        <w:t>OR Cases are .9</w:t>
      </w:r>
      <w:r w:rsidR="005E778F" w:rsidRPr="00BE0F00">
        <w:t xml:space="preserve">% </w:t>
      </w:r>
      <w:r w:rsidRPr="00BE0F00">
        <w:t>lower</w:t>
      </w:r>
      <w:r w:rsidR="002A213D">
        <w:t xml:space="preserve"> than forecast</w:t>
      </w:r>
      <w:r w:rsidR="005E778F" w:rsidRPr="00BE0F00">
        <w:t xml:space="preserve"> and </w:t>
      </w:r>
      <w:r w:rsidRPr="00BE0F00">
        <w:t>3.0</w:t>
      </w:r>
      <w:r w:rsidR="005E778F" w:rsidRPr="00BE0F00">
        <w:t xml:space="preserve">% </w:t>
      </w:r>
      <w:r w:rsidRPr="00BE0F00">
        <w:t>lower</w:t>
      </w:r>
      <w:r w:rsidR="005E778F" w:rsidRPr="00BE0F00">
        <w:t xml:space="preserve"> than prior year</w:t>
      </w:r>
    </w:p>
    <w:p w14:paraId="056AC7FF" w14:textId="493D6CA5" w:rsidR="00714CD5" w:rsidRPr="00BE0F00" w:rsidRDefault="002C7177" w:rsidP="00E61450">
      <w:pPr>
        <w:pStyle w:val="ListParagraph"/>
        <w:numPr>
          <w:ilvl w:val="0"/>
          <w:numId w:val="1"/>
        </w:numPr>
        <w:spacing w:after="0"/>
        <w:jc w:val="both"/>
      </w:pPr>
      <w:r w:rsidRPr="00BE0F00">
        <w:t xml:space="preserve">Clinic visits </w:t>
      </w:r>
      <w:r w:rsidR="002A213D">
        <w:t>are .8% higher than forecast</w:t>
      </w:r>
      <w:r w:rsidR="00BE0F00" w:rsidRPr="00BE0F00">
        <w:t xml:space="preserve"> and 1</w:t>
      </w:r>
      <w:r w:rsidR="00BE0F00">
        <w:t>.0</w:t>
      </w:r>
      <w:r w:rsidR="005E778F" w:rsidRPr="00BE0F00">
        <w:t xml:space="preserve">% </w:t>
      </w:r>
      <w:r w:rsidRPr="00BE0F00">
        <w:t>higher</w:t>
      </w:r>
      <w:r w:rsidR="005E778F" w:rsidRPr="00BE0F00">
        <w:t xml:space="preserve"> than prior year</w:t>
      </w:r>
    </w:p>
    <w:p w14:paraId="6C872D3E" w14:textId="77777777" w:rsidR="00E61450" w:rsidRPr="00146D39" w:rsidRDefault="00E61450" w:rsidP="00E61450">
      <w:pPr>
        <w:pStyle w:val="ListParagraph"/>
        <w:spacing w:after="0"/>
        <w:jc w:val="both"/>
        <w:rPr>
          <w:color w:val="FF0000"/>
          <w:highlight w:val="yellow"/>
        </w:rPr>
      </w:pPr>
    </w:p>
    <w:p w14:paraId="18DF98CA" w14:textId="77777777" w:rsidR="00115CC6" w:rsidRPr="00BE0F00" w:rsidRDefault="00115CC6" w:rsidP="00CF485B">
      <w:pPr>
        <w:spacing w:after="0"/>
        <w:jc w:val="both"/>
      </w:pPr>
      <w:r w:rsidRPr="00BE0F00">
        <w:rPr>
          <w:b/>
          <w:u w:val="single"/>
        </w:rPr>
        <w:t>Ratios and Benchmarks</w:t>
      </w:r>
    </w:p>
    <w:p w14:paraId="54F53B33" w14:textId="3E75CE87" w:rsidR="00A2630A" w:rsidRPr="00BE0F00" w:rsidRDefault="00A2630A" w:rsidP="00CF485B">
      <w:pPr>
        <w:spacing w:after="0"/>
        <w:jc w:val="both"/>
      </w:pPr>
      <w:r w:rsidRPr="00BE0F00">
        <w:t xml:space="preserve">The impacts of the </w:t>
      </w:r>
      <w:r w:rsidR="002D7246" w:rsidRPr="00BE0F00">
        <w:t>re-emergence and continued response</w:t>
      </w:r>
      <w:r w:rsidRPr="00BE0F00">
        <w:t xml:space="preserve"> to COVID-19 </w:t>
      </w:r>
      <w:r w:rsidR="000F31CF">
        <w:t>is positively</w:t>
      </w:r>
      <w:r w:rsidRPr="00BE0F00">
        <w:t xml:space="preserve"> reflected in the financial ratios and benchmarks below.  Operating Margin, </w:t>
      </w:r>
      <w:r w:rsidR="002D7246" w:rsidRPr="00BE0F00">
        <w:t xml:space="preserve">Annualized Return on Total Assets, </w:t>
      </w:r>
      <w:r w:rsidRPr="00BE0F00">
        <w:t>Cash to Total Debt, Debt to Capitalization</w:t>
      </w:r>
      <w:r w:rsidR="00BE0F00" w:rsidRPr="00BE0F00">
        <w:t xml:space="preserve"> and </w:t>
      </w:r>
      <w:r w:rsidR="002D7246" w:rsidRPr="00BE0F00">
        <w:t>Maximum Annual Debt Service Coverage</w:t>
      </w:r>
      <w:r w:rsidR="00BE0F00" w:rsidRPr="00BE0F00">
        <w:t xml:space="preserve"> </w:t>
      </w:r>
      <w:r w:rsidRPr="00BE0F00">
        <w:t xml:space="preserve">are favorable to Moody’s A rated medians, while </w:t>
      </w:r>
      <w:r w:rsidR="00BE0F00" w:rsidRPr="00BE0F00">
        <w:t xml:space="preserve">Net Days Revenue in AR and </w:t>
      </w:r>
      <w:r w:rsidR="002D7246" w:rsidRPr="00BE0F00">
        <w:t>Days Cash on Hand is</w:t>
      </w:r>
      <w:r w:rsidRPr="00BE0F00">
        <w:t xml:space="preserve"> unfavorable to Moody’s A rated medians.</w:t>
      </w:r>
    </w:p>
    <w:p w14:paraId="5EECE7BF" w14:textId="77777777" w:rsidR="00CF485B" w:rsidRPr="00146D39" w:rsidRDefault="00CF485B" w:rsidP="007D1D69">
      <w:pPr>
        <w:spacing w:after="0"/>
        <w:rPr>
          <w:highlight w:val="yellow"/>
        </w:rPr>
      </w:pPr>
    </w:p>
    <w:p w14:paraId="41836A85" w14:textId="5F06A833" w:rsidR="007D1D69" w:rsidRPr="002F76AC" w:rsidRDefault="002A213D" w:rsidP="002E7176">
      <w:pPr>
        <w:spacing w:after="0"/>
        <w:jc w:val="center"/>
      </w:pPr>
      <w:r w:rsidRPr="002A213D">
        <w:rPr>
          <w:noProof/>
        </w:rPr>
        <w:lastRenderedPageBreak/>
        <w:drawing>
          <wp:inline distT="0" distB="0" distL="0" distR="0" wp14:anchorId="5A56856D" wp14:editId="32E38297">
            <wp:extent cx="5943600" cy="152325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D69" w:rsidRPr="002F7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1110" w14:textId="77777777" w:rsidR="000C4E10" w:rsidRDefault="000C4E10" w:rsidP="00666B98">
      <w:pPr>
        <w:spacing w:after="0" w:line="240" w:lineRule="auto"/>
      </w:pPr>
      <w:r>
        <w:separator/>
      </w:r>
    </w:p>
  </w:endnote>
  <w:endnote w:type="continuationSeparator" w:id="0">
    <w:p w14:paraId="46233698" w14:textId="77777777" w:rsidR="000C4E10" w:rsidRDefault="000C4E10" w:rsidP="0066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D775" w14:textId="77777777" w:rsidR="002D5DAF" w:rsidRDefault="002D5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F814" w14:textId="58C302E7" w:rsidR="00666B98" w:rsidRDefault="00666B98" w:rsidP="00666B98">
    <w:pPr>
      <w:pStyle w:val="Footer"/>
      <w:jc w:val="center"/>
    </w:pPr>
    <w:r>
      <w:t xml:space="preserve">OPEN – HEALTH AFF – INFO </w:t>
    </w:r>
    <w:r w:rsidR="00C270E6">
      <w:t>5</w:t>
    </w:r>
    <w:r>
      <w:t>-</w:t>
    </w:r>
    <w:r w:rsidR="002D5DAF">
      <w:fldChar w:fldCharType="begin"/>
    </w:r>
    <w:r w:rsidR="002D5DAF">
      <w:instrText xml:space="preserve"> PAGE   \* MERGEFORMAT </w:instrText>
    </w:r>
    <w:r w:rsidR="002D5DAF">
      <w:fldChar w:fldCharType="separate"/>
    </w:r>
    <w:r w:rsidR="002D5DAF">
      <w:rPr>
        <w:noProof/>
      </w:rPr>
      <w:t>1</w:t>
    </w:r>
    <w:r w:rsidR="002D5DAF">
      <w:rPr>
        <w:noProof/>
      </w:rPr>
      <w:fldChar w:fldCharType="end"/>
    </w:r>
    <w:r w:rsidR="00C270E6">
      <w:tab/>
    </w:r>
  </w:p>
  <w:p w14:paraId="2BA6FC6C" w14:textId="77777777" w:rsidR="00666B98" w:rsidRDefault="00666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81B7" w14:textId="77777777" w:rsidR="002D5DAF" w:rsidRDefault="002D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D11C" w14:textId="77777777" w:rsidR="000C4E10" w:rsidRDefault="000C4E10" w:rsidP="00666B98">
      <w:pPr>
        <w:spacing w:after="0" w:line="240" w:lineRule="auto"/>
      </w:pPr>
      <w:r>
        <w:separator/>
      </w:r>
    </w:p>
  </w:footnote>
  <w:footnote w:type="continuationSeparator" w:id="0">
    <w:p w14:paraId="41CF7981" w14:textId="77777777" w:rsidR="000C4E10" w:rsidRDefault="000C4E10" w:rsidP="0066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B167" w14:textId="77777777" w:rsidR="002D5DAF" w:rsidRDefault="002D5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E180" w14:textId="77777777" w:rsidR="00A00A4A" w:rsidRDefault="00A00A4A" w:rsidP="00A00A4A">
    <w:pPr>
      <w:pStyle w:val="Header"/>
      <w:jc w:val="right"/>
    </w:pPr>
    <w:r>
      <w:t>WRITTEN REPORT ONLY</w:t>
    </w:r>
  </w:p>
  <w:p w14:paraId="5262B2E8" w14:textId="77777777" w:rsidR="00A00A4A" w:rsidRDefault="00A00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0717" w14:textId="77777777" w:rsidR="002D5DAF" w:rsidRDefault="002D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2ACF"/>
    <w:multiLevelType w:val="hybridMultilevel"/>
    <w:tmpl w:val="62B4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5FA1"/>
    <w:multiLevelType w:val="hybridMultilevel"/>
    <w:tmpl w:val="C7A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E1"/>
    <w:rsid w:val="000074CB"/>
    <w:rsid w:val="00044DE0"/>
    <w:rsid w:val="0005113E"/>
    <w:rsid w:val="00070CA0"/>
    <w:rsid w:val="000C4E10"/>
    <w:rsid w:val="000F31CF"/>
    <w:rsid w:val="00111719"/>
    <w:rsid w:val="00115CC6"/>
    <w:rsid w:val="00146D39"/>
    <w:rsid w:val="00162BE7"/>
    <w:rsid w:val="00181318"/>
    <w:rsid w:val="00196D4F"/>
    <w:rsid w:val="001A1283"/>
    <w:rsid w:val="001B14DB"/>
    <w:rsid w:val="00281418"/>
    <w:rsid w:val="00287D51"/>
    <w:rsid w:val="002A213D"/>
    <w:rsid w:val="002C7177"/>
    <w:rsid w:val="002D5DAF"/>
    <w:rsid w:val="002D7246"/>
    <w:rsid w:val="002E7176"/>
    <w:rsid w:val="002F5898"/>
    <w:rsid w:val="002F76AC"/>
    <w:rsid w:val="002F7A4A"/>
    <w:rsid w:val="00320989"/>
    <w:rsid w:val="00331CD5"/>
    <w:rsid w:val="003A67B8"/>
    <w:rsid w:val="003C7580"/>
    <w:rsid w:val="00431D0C"/>
    <w:rsid w:val="00447ADE"/>
    <w:rsid w:val="004C6B97"/>
    <w:rsid w:val="004F1629"/>
    <w:rsid w:val="004F4B5A"/>
    <w:rsid w:val="005601E2"/>
    <w:rsid w:val="005A2DAB"/>
    <w:rsid w:val="005C5CCC"/>
    <w:rsid w:val="005E778F"/>
    <w:rsid w:val="005F6B64"/>
    <w:rsid w:val="006146A8"/>
    <w:rsid w:val="00614F25"/>
    <w:rsid w:val="00623AB6"/>
    <w:rsid w:val="00666B98"/>
    <w:rsid w:val="00690B0C"/>
    <w:rsid w:val="006A243F"/>
    <w:rsid w:val="006D7ED5"/>
    <w:rsid w:val="00710D2E"/>
    <w:rsid w:val="00714CD5"/>
    <w:rsid w:val="00716762"/>
    <w:rsid w:val="00720B00"/>
    <w:rsid w:val="00774BAA"/>
    <w:rsid w:val="00792731"/>
    <w:rsid w:val="00796C63"/>
    <w:rsid w:val="007D1D69"/>
    <w:rsid w:val="008057CE"/>
    <w:rsid w:val="00844DE9"/>
    <w:rsid w:val="00893786"/>
    <w:rsid w:val="00896DBC"/>
    <w:rsid w:val="009449A9"/>
    <w:rsid w:val="009667E1"/>
    <w:rsid w:val="009901E9"/>
    <w:rsid w:val="009B27C6"/>
    <w:rsid w:val="009D2545"/>
    <w:rsid w:val="009F2985"/>
    <w:rsid w:val="00A00A4A"/>
    <w:rsid w:val="00A2630A"/>
    <w:rsid w:val="00A3377F"/>
    <w:rsid w:val="00A9675B"/>
    <w:rsid w:val="00AB53C9"/>
    <w:rsid w:val="00B56C7D"/>
    <w:rsid w:val="00B675AE"/>
    <w:rsid w:val="00B73D9C"/>
    <w:rsid w:val="00B908D4"/>
    <w:rsid w:val="00B9460B"/>
    <w:rsid w:val="00B976A6"/>
    <w:rsid w:val="00BE0F00"/>
    <w:rsid w:val="00BE5152"/>
    <w:rsid w:val="00C142EF"/>
    <w:rsid w:val="00C17C83"/>
    <w:rsid w:val="00C270E6"/>
    <w:rsid w:val="00C878EC"/>
    <w:rsid w:val="00CC1BEC"/>
    <w:rsid w:val="00CC496A"/>
    <w:rsid w:val="00CC76D6"/>
    <w:rsid w:val="00CF485B"/>
    <w:rsid w:val="00D47DA7"/>
    <w:rsid w:val="00D74328"/>
    <w:rsid w:val="00D94C50"/>
    <w:rsid w:val="00E42485"/>
    <w:rsid w:val="00E61450"/>
    <w:rsid w:val="00F0231C"/>
    <w:rsid w:val="00F7365D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0B76"/>
  <w15:chartTrackingRefBased/>
  <w15:docId w15:val="{E83E4FF3-FC3C-4A32-9943-FACA590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98"/>
  </w:style>
  <w:style w:type="paragraph" w:styleId="Footer">
    <w:name w:val="footer"/>
    <w:basedOn w:val="Normal"/>
    <w:link w:val="FooterChar"/>
    <w:uiPriority w:val="99"/>
    <w:unhideWhenUsed/>
    <w:rsid w:val="0066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98"/>
  </w:style>
  <w:style w:type="paragraph" w:styleId="BalloonText">
    <w:name w:val="Balloon Text"/>
    <w:basedOn w:val="Normal"/>
    <w:link w:val="BalloonTextChar"/>
    <w:uiPriority w:val="99"/>
    <w:semiHidden/>
    <w:unhideWhenUsed/>
    <w:rsid w:val="004C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F93B8777C7349843C1EC6C1A45195" ma:contentTypeVersion="1" ma:contentTypeDescription="Create a new document." ma:contentTypeScope="" ma:versionID="f56c6bb82d8c503bf915f16b4be82f36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65143-E3AF-4119-AD54-102EAA638EF4}"/>
</file>

<file path=customXml/itemProps2.xml><?xml version="1.0" encoding="utf-8"?>
<ds:datastoreItem xmlns:ds="http://schemas.openxmlformats.org/officeDocument/2006/customXml" ds:itemID="{579B10BF-D30B-4E20-87AA-101B74354337}"/>
</file>

<file path=customXml/itemProps3.xml><?xml version="1.0" encoding="utf-8"?>
<ds:datastoreItem xmlns:ds="http://schemas.openxmlformats.org/officeDocument/2006/customXml" ds:itemID="{A7D7703A-430E-439A-8741-9D60BE2F9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Health - University of Missouri - Columbia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David J.</dc:creator>
  <cp:keywords/>
  <dc:description/>
  <cp:lastModifiedBy>Harmon, Cindy S. (Curators)</cp:lastModifiedBy>
  <cp:revision>2</cp:revision>
  <cp:lastPrinted>2021-01-20T21:32:00Z</cp:lastPrinted>
  <dcterms:created xsi:type="dcterms:W3CDTF">2021-01-20T21:32:00Z</dcterms:created>
  <dcterms:modified xsi:type="dcterms:W3CDTF">2021-01-20T21:32:00Z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0x010100FF8F93B8777C7349843C1EC6C1A45195</vt:lpwstr>
  </property>
</Properties>
</file>